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5F6200" w14:paraId="35C7B642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6938E53" w14:textId="77777777" w:rsidR="005F6200" w:rsidRDefault="00F64D4F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DICHIARAZIONE DEL COMMITTENTE O DEL RESPONSABILE DEI LAVORI IN APPLICAZIONE DELL’ART. 90 DEL DECRETO LEGISLATIVO DEL 09/04/2008 N. 81 E DECRETO LEGISLATIVO DEL 03/08/2009 N. 106 E S.M.I.</w:t>
            </w:r>
          </w:p>
        </w:tc>
      </w:tr>
    </w:tbl>
    <w:p w14:paraId="49A7CCFB" w14:textId="77777777" w:rsidR="005F6200" w:rsidRDefault="005F6200">
      <w:pPr>
        <w:contextualSpacing/>
        <w:jc w:val="left"/>
        <w:rPr>
          <w:rFonts w:ascii="Arial" w:hAnsi="Arial" w:cs="Arial"/>
        </w:rPr>
      </w:pPr>
    </w:p>
    <w:p w14:paraId="456F8C34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resp_sicurezza_cognome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resp_sicurezza_nome</w:t>
      </w:r>
      <w:proofErr w:type="spellEnd"/>
      <w:r>
        <w:rPr>
          <w:rFonts w:ascii="Arial" w:hAnsi="Arial" w:cs="Arial"/>
          <w:sz w:val="18"/>
          <w:szCs w:val="18"/>
        </w:rPr>
        <w:t>] in qualità di [</w:t>
      </w:r>
      <w:proofErr w:type="spellStart"/>
      <w:r>
        <w:rPr>
          <w:rFonts w:ascii="Arial" w:hAnsi="Arial" w:cs="Arial"/>
          <w:sz w:val="18"/>
          <w:szCs w:val="18"/>
        </w:rPr>
        <w:t>resp_sicurezza_titolo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3628A9E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resp_sicurezza_indirizzo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resp_sicurezza_civico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resp_sicurezza_cap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resp_sicurezza_comune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resp_sicurezza_provincia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66CC689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resp_sicurezza_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resp_sicurezza_pec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resp_sicure</w:t>
      </w:r>
      <w:r>
        <w:rPr>
          <w:rFonts w:ascii="Arial" w:hAnsi="Arial" w:cs="Arial"/>
          <w:sz w:val="18"/>
          <w:szCs w:val="18"/>
        </w:rPr>
        <w:t>zza_telefono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resp_sicurezza_cellulare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6094844" w14:textId="77777777" w:rsidR="005F6200" w:rsidRDefault="005F6200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D263204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riferimento al tipo di pratica: [</w:t>
      </w:r>
      <w:proofErr w:type="spellStart"/>
      <w:r>
        <w:rPr>
          <w:rFonts w:ascii="Arial" w:hAnsi="Arial" w:cs="Arial"/>
          <w:sz w:val="18"/>
          <w:szCs w:val="18"/>
        </w:rPr>
        <w:t>iol_tipo_app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D59B113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ad oggetto l’intervento edilizio di: 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4EAF5C8" w14:textId="77777777" w:rsidR="005F6200" w:rsidRDefault="005F6200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39EE5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 xml:space="preserve">]: </w:t>
      </w:r>
    </w:p>
    <w:p w14:paraId="6B539B98" w14:textId="77777777" w:rsidR="005F6200" w:rsidRDefault="00F64D4F">
      <w:pPr>
        <w:numPr>
          <w:ilvl w:val="0"/>
          <w:numId w:val="1"/>
        </w:numPr>
        <w:suppressAutoHyphens/>
        <w:contextualSpacing/>
        <w:jc w:val="left"/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ubicazioni_indirizzo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184FF59" w14:textId="77777777" w:rsidR="005F6200" w:rsidRDefault="00F64D4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644A6D0" w14:textId="77777777" w:rsidR="005F6200" w:rsidRDefault="00F64D4F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 I C H I A R A </w:t>
      </w:r>
    </w:p>
    <w:p w14:paraId="72C05D37" w14:textId="77777777" w:rsidR="005F6200" w:rsidRDefault="005F6200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8C5029C" w14:textId="77777777" w:rsidR="005F6200" w:rsidRDefault="00F64D4F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>
        <w:rPr>
          <w:rFonts w:ascii="Arial" w:hAnsi="Arial" w:cs="Arial"/>
          <w:b/>
          <w:sz w:val="18"/>
          <w:szCs w:val="18"/>
        </w:rPr>
        <w:t>he l’intervento descritto nella segnalazione di inizio attività, di cui il presente allegato costituisce parte integrante:</w:t>
      </w:r>
    </w:p>
    <w:p w14:paraId="19020FCA" w14:textId="77777777" w:rsidR="005F6200" w:rsidRDefault="005F620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F6200" w14:paraId="32BDCEEF" w14:textId="77777777" w:rsidTr="00F64D4F">
        <w:tc>
          <w:tcPr>
            <w:tcW w:w="9778" w:type="dxa"/>
            <w:shd w:val="clear" w:color="auto" w:fill="auto"/>
          </w:tcPr>
          <w:p w14:paraId="7F24682F" w14:textId="77777777" w:rsidR="005F6200" w:rsidRDefault="00F64D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dich_titolo_iv_key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non ricade nell'ambito di applicazione delle norme in materia di salute e sicurezza nei luoghi di lavoro (d.lgs. n. 81/2008) – in caso di lavori eseguiti in proprio in quanto opere di modesta entità che non interessano le specifiche normative di settore,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 lavori saranno eseguiti in prima persona, senza alcun affidamento a ditte esterne</w:t>
            </w:r>
          </w:p>
        </w:tc>
      </w:tr>
      <w:tr w:rsidR="005F6200" w14:paraId="1CF19351" w14:textId="77777777" w:rsidTr="00F64D4F">
        <w:tc>
          <w:tcPr>
            <w:tcW w:w="9778" w:type="dxa"/>
            <w:shd w:val="clear" w:color="auto" w:fill="auto"/>
          </w:tcPr>
          <w:p w14:paraId="36B8640B" w14:textId="77777777" w:rsidR="005F6200" w:rsidRDefault="00F64D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dich_titolo_iv_key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ricade nell'ambito di applicazione del Titolo IV del d.lgs. n. 81/2008 e che, ai sensi dell'art.34 l.r.16/2008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 relativi adempimenti saranno assolti prima dell'inizio dei lavori </w:t>
            </w:r>
          </w:p>
          <w:p w14:paraId="5AE2BCD5" w14:textId="77777777" w:rsidR="005F6200" w:rsidRDefault="005F6200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Style w:val="Grigliatabella"/>
              <w:tblW w:w="8913" w:type="dxa"/>
              <w:tblInd w:w="595" w:type="dxa"/>
              <w:tblLook w:val="04A0" w:firstRow="1" w:lastRow="0" w:firstColumn="1" w:lastColumn="0" w:noHBand="0" w:noVBand="1"/>
            </w:tblPr>
            <w:tblGrid>
              <w:gridCol w:w="8913"/>
            </w:tblGrid>
            <w:tr w:rsidR="005F6200" w14:paraId="248AE177" w14:textId="77777777">
              <w:tc>
                <w:tcPr>
                  <w:tcW w:w="8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73121E" w14:textId="77777777" w:rsidR="005F6200" w:rsidRDefault="00F64D4F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Relativamente alla documentazione delle imprese esecutrici:</w:t>
                  </w:r>
                </w:p>
              </w:tc>
            </w:tr>
            <w:tr w:rsidR="005F6200" w14:paraId="199C1421" w14:textId="77777777">
              <w:tc>
                <w:tcPr>
                  <w:tcW w:w="8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F86087" w14:textId="77777777" w:rsidR="005F6200" w:rsidRDefault="00F64D4F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dich_doc_imprese_key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L'entità presunta del cantiere è inferiore a 200 uomini-giorno ed i lavori non comportano i rischi particolari di cui l'allegato XI del d.lgs. n. 81/2008 e di aver verificato il certificato di iscrizione alla Camera di commercio, il documento unico di reg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olarità contributiva, corredato da autocertificazione in ordine al possesso degli altri requisiti previsti dall'allegato XVII del d.lgs. n. 81/2008, e l'autocertificazione relativa al contratto collettivo applicato</w:t>
                  </w:r>
                </w:p>
              </w:tc>
            </w:tr>
            <w:tr w:rsidR="005F6200" w14:paraId="546328BA" w14:textId="77777777">
              <w:tc>
                <w:tcPr>
                  <w:tcW w:w="8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BCFDD9" w14:textId="77777777" w:rsidR="005F6200" w:rsidRDefault="00F64D4F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dich_doc_imp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rese_key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L'entità presunta del cantiere è pari o superiore a 200 uomini-giorno o i lavori comportano i rischi particolari di cui all'allegato XI del d.lgs. n. 81/2008 e di aver verificato la documentazione di cui alle lettere a) e b) dell'art. 90 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mma 9 prevista dal d.lgs. n. 81/2008 circa l'idoneità tecnico professionale della/e impresa/e esecutrice/i e dei lavoratori autonomi, l'organico medio annuo distinto per qualifica, gli estremi delle denunce dei lavoratori effettuate all'Istituto nazionale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della previdenza sociale (INPS), all'Istituto nazionale assicurazione infortuni sul lavoro (INAIL) e alle casse edili,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nonchè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il contratto collettivo applicato ai lavoratori dipendenti, della/e impresa/e esecutrice/i</w:t>
                  </w:r>
                </w:p>
              </w:tc>
            </w:tr>
            <w:tr w:rsidR="005F6200" w14:paraId="5CC29E37" w14:textId="77777777">
              <w:tc>
                <w:tcPr>
                  <w:tcW w:w="8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1E3891" w14:textId="77777777" w:rsidR="005F6200" w:rsidRDefault="005F6200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  <w:p w14:paraId="516CFA13" w14:textId="77777777" w:rsidR="005F6200" w:rsidRDefault="00F64D4F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Relativamente alla notifica prelimina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 di cui all’articolo 99 del d.lgs. n. 81/2008:</w:t>
                  </w:r>
                </w:p>
              </w:tc>
            </w:tr>
            <w:tr w:rsidR="005F6200" w14:paraId="7BD5AEE0" w14:textId="77777777">
              <w:tc>
                <w:tcPr>
                  <w:tcW w:w="8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3C92BA" w14:textId="77777777" w:rsidR="005F6200" w:rsidRDefault="00F64D4F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dich_no_notifica_prel_key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L'intervento non è soggetto all'invio della notifica</w:t>
                  </w:r>
                </w:p>
              </w:tc>
            </w:tr>
            <w:tr w:rsidR="005F6200" w14:paraId="32E92946" w14:textId="77777777">
              <w:tc>
                <w:tcPr>
                  <w:tcW w:w="8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A2C840" w14:textId="77777777" w:rsidR="005F6200" w:rsidRDefault="00F64D4F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dich_no_notifica_prel_key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Allega alla presente comunicazione la notifica, il cui contenuto sarà riprodotto su apposita tabella, esposta in cantiere per tutta la durata dei lavori, in luogo visibile dall'esterno</w:t>
                  </w:r>
                </w:p>
              </w:tc>
            </w:tr>
          </w:tbl>
          <w:p w14:paraId="35E13D18" w14:textId="77777777" w:rsidR="005F6200" w:rsidRDefault="005F6200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6200" w14:paraId="67CFC32D" w14:textId="77777777" w:rsidTr="00F64D4F">
        <w:tc>
          <w:tcPr>
            <w:tcW w:w="9778" w:type="dxa"/>
            <w:shd w:val="clear" w:color="auto" w:fill="auto"/>
          </w:tcPr>
          <w:p w14:paraId="7AAD5CD8" w14:textId="77777777" w:rsidR="005F6200" w:rsidRDefault="00F64D4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dich_titolo_iv_key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ricade nell'a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mbito di applicazione delle norme in materia di salute e sicurezza sul luogo di lavoro (d.lgs. 81/2008), ma si riserva di presentare le dichiarazioni prima dell'inizio dei lavori, poiché i dati dell'impresa saranno forniti prima dell'inizio lavori</w:t>
            </w:r>
          </w:p>
        </w:tc>
      </w:tr>
    </w:tbl>
    <w:p w14:paraId="287F872A" w14:textId="77777777" w:rsidR="005F6200" w:rsidRDefault="005F6200">
      <w:pPr>
        <w:contextualSpacing/>
        <w:rPr>
          <w:rFonts w:ascii="Arial" w:hAnsi="Arial" w:cs="Arial"/>
          <w:sz w:val="18"/>
          <w:szCs w:val="18"/>
        </w:rPr>
      </w:pPr>
    </w:p>
    <w:p w14:paraId="3F712CBA" w14:textId="77777777" w:rsidR="005F6200" w:rsidRDefault="00F64D4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</w:t>
      </w:r>
      <w:r>
        <w:rPr>
          <w:rFonts w:ascii="Arial" w:hAnsi="Arial" w:cs="Arial"/>
          <w:sz w:val="18"/>
          <w:szCs w:val="18"/>
        </w:rPr>
        <w:t>ere a conoscenza che l’efficacia della presente segnalazione è sospesa qualora sia assente il piano di sicurezza e coordinamento di cui all’articolo 100 d.lgs. n. 81/2008 o il fascicolo di cui all’articolo 91, comma 1, lettera b), quando previsti, oppure i</w:t>
      </w:r>
      <w:r>
        <w:rPr>
          <w:rFonts w:ascii="Arial" w:hAnsi="Arial" w:cs="Arial"/>
          <w:sz w:val="18"/>
          <w:szCs w:val="18"/>
        </w:rPr>
        <w:t>n assenza di notifica di cui 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ll’articolo 99, quando prevista, oppure in assenza di documento unico di regolarità contributiva.</w:t>
      </w:r>
    </w:p>
    <w:p w14:paraId="73CDA692" w14:textId="77777777" w:rsidR="005F6200" w:rsidRDefault="005F6200">
      <w:pPr>
        <w:contextualSpacing/>
        <w:rPr>
          <w:rFonts w:ascii="Arial" w:hAnsi="Arial" w:cs="Arial"/>
          <w:sz w:val="18"/>
          <w:szCs w:val="18"/>
        </w:rPr>
      </w:pPr>
    </w:p>
    <w:p w14:paraId="337C286D" w14:textId="77777777" w:rsidR="005F6200" w:rsidRDefault="00F64D4F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data_stampa_domanda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</w:p>
    <w:p w14:paraId="3D279AF7" w14:textId="77777777" w:rsidR="005F6200" w:rsidRDefault="005F6200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5F6200" w14:paraId="1B4C43BD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0C681" w14:textId="77777777" w:rsidR="005F6200" w:rsidRDefault="005F620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155D" w14:textId="77777777" w:rsidR="005F6200" w:rsidRDefault="00F64D4F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resp_sicurezza_cognome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resp_sicurezza_nome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57CF70EA" w14:textId="77777777" w:rsidR="005F6200" w:rsidRDefault="005F6200">
      <w:pPr>
        <w:contextualSpacing/>
        <w:jc w:val="left"/>
        <w:rPr>
          <w:rFonts w:ascii="Arial" w:hAnsi="Arial" w:cs="Arial"/>
        </w:rPr>
      </w:pPr>
    </w:p>
    <w:p w14:paraId="4C2BB73F" w14:textId="77777777" w:rsidR="005F6200" w:rsidRDefault="00F64D4F">
      <w:pPr>
        <w:keepNext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t xml:space="preserve">INFORMATIVA SULLA PRIVACY AI </w:t>
      </w: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t>SENSI DEL REGOLAMENTO EUROPEO PER LA PROTEZIONE DEI DATI 2016/679</w:t>
      </w:r>
    </w:p>
    <w:p w14:paraId="4421B77D" w14:textId="77777777" w:rsidR="005F6200" w:rsidRDefault="00F64D4F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</w:t>
      </w:r>
      <w:r>
        <w:rPr>
          <w:rFonts w:ascii="Arial" w:eastAsia="Times New Roman" w:hAnsi="Arial" w:cs="Arial"/>
          <w:sz w:val="14"/>
          <w:szCs w:val="14"/>
          <w:lang w:eastAsia="it-IT"/>
        </w:rPr>
        <w:t>chiamata.</w:t>
      </w:r>
    </w:p>
    <w:p w14:paraId="5C891AD0" w14:textId="77777777" w:rsidR="005F6200" w:rsidRDefault="00F64D4F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</w:t>
      </w:r>
      <w:r>
        <w:rPr>
          <w:rFonts w:ascii="Arial" w:eastAsia="Times New Roman" w:hAnsi="Arial" w:cs="Arial"/>
          <w:sz w:val="14"/>
          <w:szCs w:val="14"/>
          <w:lang w:eastAsia="it-IT"/>
        </w:rPr>
        <w:t>vvero la combinazione di due o più di tali operazioni.</w:t>
      </w:r>
    </w:p>
    <w:p w14:paraId="12D686B1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AF9E1B5" w14:textId="77777777" w:rsidR="005F6200" w:rsidRDefault="00F64D4F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54B970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05AF1FA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</w:t>
      </w:r>
      <w:r>
        <w:rPr>
          <w:rFonts w:ascii="Arial" w:eastAsia="Times New Roman" w:hAnsi="Arial" w:cs="Arial"/>
          <w:sz w:val="14"/>
          <w:szCs w:val="14"/>
          <w:lang w:eastAsia="it-IT"/>
        </w:rPr>
        <w:t>inalità istituzionali.</w:t>
      </w:r>
    </w:p>
    <w:p w14:paraId="5C01DA10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4E177446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4D480CF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75E8E2C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</w:t>
      </w:r>
      <w:r>
        <w:rPr>
          <w:rFonts w:ascii="Arial" w:eastAsia="Times New Roman" w:hAnsi="Arial" w:cs="Arial"/>
          <w:sz w:val="14"/>
          <w:szCs w:val="14"/>
          <w:lang w:eastAsia="it-IT"/>
        </w:rPr>
        <w:t>inalità per le quali i dati personali sono trattati (finalità istituzionali e non commerciali).</w:t>
      </w:r>
    </w:p>
    <w:p w14:paraId="2180E2F6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688FBAF3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 xml:space="preserve">Il cittadino/L’interessato avrà in qualsiasi momento piena facoltà di esercitare i diritti previsti dalla normativa </w:t>
      </w:r>
      <w:r>
        <w:rPr>
          <w:rFonts w:ascii="Arial" w:eastAsia="Times New Roman" w:hAnsi="Arial" w:cs="Arial"/>
          <w:sz w:val="14"/>
          <w:szCs w:val="14"/>
          <w:lang w:eastAsia="it-IT"/>
        </w:rPr>
        <w:t>vigente; potrà far valere i propri diritti rivolgendosi al Comune di 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D03F655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C0E16F6" w14:textId="77777777" w:rsidR="005F6200" w:rsidRDefault="00F64D4F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5393AD6A" w14:textId="77777777" w:rsidR="005F6200" w:rsidRDefault="00F64D4F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</w:t>
      </w:r>
      <w:r>
        <w:rPr>
          <w:rFonts w:ascii="Arial" w:eastAsia="Times New Roman" w:hAnsi="Arial" w:cs="Arial"/>
          <w:sz w:val="14"/>
          <w:szCs w:val="14"/>
          <w:lang w:eastAsia="it-IT"/>
        </w:rPr>
        <w:t xml:space="preserve"> suoi personali e richiedere l’accesso al loro contenuto</w:t>
      </w:r>
    </w:p>
    <w:p w14:paraId="63709160" w14:textId="77777777" w:rsidR="005F6200" w:rsidRDefault="00F64D4F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085EFDB" w14:textId="77777777" w:rsidR="005F6200" w:rsidRDefault="00F64D4F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D4F988C" w14:textId="77777777" w:rsidR="005F6200" w:rsidRDefault="00F64D4F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chiedere la limitazi</w:t>
      </w:r>
      <w:r>
        <w:rPr>
          <w:rFonts w:ascii="Arial" w:eastAsia="Times New Roman" w:hAnsi="Arial" w:cs="Arial"/>
          <w:sz w:val="14"/>
          <w:szCs w:val="14"/>
          <w:lang w:eastAsia="it-IT"/>
        </w:rPr>
        <w:t>one del trattamento</w:t>
      </w:r>
    </w:p>
    <w:p w14:paraId="519C1397" w14:textId="77777777" w:rsidR="005F6200" w:rsidRDefault="00F64D4F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BA874CD" w14:textId="77777777" w:rsidR="005F6200" w:rsidRDefault="005F6200">
      <w:pPr>
        <w:contextualSpacing/>
        <w:jc w:val="left"/>
      </w:pPr>
    </w:p>
    <w:sectPr w:rsidR="005F620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CA7"/>
    <w:multiLevelType w:val="multilevel"/>
    <w:tmpl w:val="41D62F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05138B"/>
    <w:multiLevelType w:val="multilevel"/>
    <w:tmpl w:val="C868F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DC71A7"/>
    <w:multiLevelType w:val="multilevel"/>
    <w:tmpl w:val="D8305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200"/>
    <w:rsid w:val="005F6200"/>
    <w:rsid w:val="00F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25D3"/>
  <w15:docId w15:val="{87330A0A-9AF8-43B3-A0BE-B4525225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7459EB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66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CF59-EB4A-430D-927F-8184633A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Silvia</cp:lastModifiedBy>
  <cp:revision>16</cp:revision>
  <dcterms:created xsi:type="dcterms:W3CDTF">2017-08-11T11:06:00Z</dcterms:created>
  <dcterms:modified xsi:type="dcterms:W3CDTF">2019-09-03T07:22:00Z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